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9"/>
        <w:ind w:left="567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П</w:t>
      </w:r>
      <w:r>
        <w:rPr>
          <w:rFonts w:ascii="Times New Roman" w:hAnsi="Times New Roman"/>
          <w:sz w:val="24"/>
          <w:szCs w:val="24"/>
        </w:rPr>
        <w:t xml:space="preserve">риложение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4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49"/>
        <w:ind w:left="567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49"/>
        <w:ind w:left="4956" w:firstLine="708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УТВЕРЖДЕН</w:t>
      </w:r>
      <w:r>
        <w:rPr>
          <w:rFonts w:ascii="Times New Roman" w:hAnsi="Times New Roman"/>
          <w:sz w:val="24"/>
          <w:szCs w:val="24"/>
        </w:rPr>
        <w:t xml:space="preserve">Ы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49"/>
        <w:ind w:left="567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49"/>
        <w:ind w:left="4956" w:firstLine="708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решением Думы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49"/>
        <w:ind w:left="4956" w:firstLine="708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Артемовского городского округа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49"/>
        <w:ind w:left="4956" w:firstLine="708"/>
        <w:spacing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№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49"/>
        <w:ind w:left="6372" w:firstLine="6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49"/>
        <w:ind w:firstLine="567"/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</w:t>
      </w:r>
      <w:r>
        <w:rPr>
          <w:rFonts w:ascii="Times New Roman" w:hAnsi="Times New Roman"/>
          <w:b/>
          <w:sz w:val="24"/>
          <w:szCs w:val="24"/>
        </w:rPr>
        <w:t xml:space="preserve">СТОЧНИКИ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849"/>
        <w:ind w:firstLine="567"/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финансирования дефицита бюджета Артемовского городского округа по кодам классификации источников финансирования дефицита бюджета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849"/>
        <w:ind w:firstLine="567"/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20</w:t>
      </w:r>
      <w:r>
        <w:rPr>
          <w:rFonts w:ascii="Times New Roman" w:hAnsi="Times New Roman"/>
          <w:b/>
          <w:sz w:val="24"/>
          <w:szCs w:val="24"/>
        </w:rPr>
        <w:t xml:space="preserve">25</w:t>
      </w:r>
      <w:r>
        <w:rPr>
          <w:rFonts w:ascii="Times New Roman" w:hAnsi="Times New Roman"/>
          <w:b/>
          <w:sz w:val="24"/>
          <w:szCs w:val="24"/>
        </w:rPr>
        <w:t xml:space="preserve"> год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849"/>
        <w:ind w:firstLine="567"/>
        <w:jc w:val="center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</w:r>
      <w:r>
        <w:rPr>
          <w:rFonts w:ascii="Times New Roman" w:hAnsi="Times New Roman"/>
          <w:b/>
          <w:sz w:val="24"/>
        </w:rPr>
      </w:r>
      <w:r>
        <w:rPr>
          <w:rFonts w:ascii="Times New Roman" w:hAnsi="Times New Roman"/>
          <w:b/>
          <w:sz w:val="24"/>
        </w:rPr>
      </w:r>
    </w:p>
    <w:p>
      <w:pPr>
        <w:pStyle w:val="855"/>
        <w:ind w:firstLine="567"/>
        <w:jc w:val="right"/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ab/>
        <w:tab/>
        <w:tab/>
        <w:tab/>
        <w:tab/>
        <w:tab/>
        <w:tab/>
      </w:r>
      <w:r>
        <w:rPr>
          <w:rFonts w:ascii="Times New Roman" w:hAnsi="Times New Roman"/>
          <w:sz w:val="24"/>
        </w:rPr>
        <w:tab/>
        <w:tab/>
      </w:r>
      <w:r>
        <w:rPr>
          <w:rFonts w:ascii="Times New Roman" w:hAnsi="Times New Roman"/>
          <w:sz w:val="24"/>
        </w:rPr>
        <w:t xml:space="preserve">        </w:t>
      </w:r>
      <w:r>
        <w:rPr>
          <w:rFonts w:ascii="Times New Roman" w:hAnsi="Times New Roman"/>
          <w:sz w:val="24"/>
          <w:lang w:val="ru-RU"/>
        </w:rPr>
        <w:t xml:space="preserve">       </w:t>
      </w:r>
      <w:r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 xml:space="preserve">руб</w:t>
      </w:r>
      <w:r>
        <w:rPr>
          <w:rFonts w:ascii="Times New Roman" w:hAnsi="Times New Roman"/>
          <w:sz w:val="24"/>
        </w:rPr>
        <w:t xml:space="preserve">л</w:t>
      </w:r>
      <w:r>
        <w:rPr>
          <w:rFonts w:ascii="Times New Roman" w:hAnsi="Times New Roman"/>
          <w:sz w:val="24"/>
        </w:rPr>
        <w:t xml:space="preserve">ей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tbl>
      <w:tblPr>
        <w:tblpPr w:horzAnchor="text" w:tblpXSpec="left" w:vertAnchor="text" w:tblpY="1" w:leftFromText="180" w:topFromText="0" w:rightFromText="180" w:bottomFromText="0"/>
        <w:tblW w:w="9504" w:type="dxa"/>
        <w:tblInd w:w="10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626"/>
        <w:gridCol w:w="2659"/>
        <w:gridCol w:w="2126"/>
        <w:gridCol w:w="209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807"/>
        </w:trPr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49"/>
              <w:jc w:val="center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  <w:framePr w:hSpace="180" w:wrap="around" w:vAnchor="text" w:hAnchor="text" w:y="1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Код бюджетной 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  <w:p>
            <w:pPr>
              <w:pStyle w:val="849"/>
              <w:jc w:val="center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  <w:framePr w:hSpace="180" w:wrap="around" w:vAnchor="text" w:hAnchor="text" w:y="1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классиф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кации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  <w:p>
            <w:pPr>
              <w:pStyle w:val="849"/>
              <w:jc w:val="center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  <w:framePr w:hSpace="180" w:wrap="around" w:vAnchor="text" w:hAnchor="text" w:y="1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Российской Фед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рации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2659" w:type="dxa"/>
            <w:vAlign w:val="top"/>
            <w:textDirection w:val="lrTb"/>
            <w:noWrap w:val="false"/>
          </w:tcPr>
          <w:p>
            <w:pPr>
              <w:pStyle w:val="849"/>
              <w:jc w:val="center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  <w:framePr w:hSpace="180" w:wrap="around" w:vAnchor="text" w:hAnchor="text" w:y="1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Наименование 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  <w:p>
            <w:pPr>
              <w:pStyle w:val="849"/>
              <w:jc w:val="center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  <w:framePr w:hSpace="180" w:wrap="around" w:vAnchor="text" w:hAnchor="text" w:y="1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источников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Borders>
              <w:right w:val="single" w:color="000000" w:sz="4" w:space="0"/>
            </w:tcBorders>
            <w:tcW w:w="2126" w:type="dxa"/>
            <w:vAlign w:val="top"/>
            <w:textDirection w:val="lrTb"/>
            <w:noWrap w:val="false"/>
          </w:tcPr>
          <w:p>
            <w:pPr>
              <w:pStyle w:val="849"/>
              <w:jc w:val="center"/>
              <w:spacing w:after="0" w:line="240" w:lineRule="auto"/>
              <w:tabs>
                <w:tab w:val="left" w:pos="480" w:leader="none"/>
                <w:tab w:val="center" w:pos="884" w:leader="none"/>
              </w:tabs>
              <w:rPr>
                <w:rFonts w:ascii="Times New Roman" w:hAnsi="Times New Roman"/>
                <w:b/>
                <w:sz w:val="20"/>
                <w:szCs w:val="20"/>
              </w:rPr>
              <w:framePr w:hSpace="180" w:wrap="around" w:vAnchor="text" w:hAnchor="text" w:y="1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Назначено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</w:tcBorders>
            <w:tcW w:w="2092" w:type="dxa"/>
            <w:vAlign w:val="top"/>
            <w:textDirection w:val="lrTb"/>
            <w:noWrap w:val="false"/>
          </w:tcPr>
          <w:p>
            <w:pPr>
              <w:pStyle w:val="849"/>
              <w:jc w:val="center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  <w:framePr w:hSpace="180" w:wrap="around" w:vAnchor="text" w:hAnchor="text" w:y="1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Исполнено 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  <w:p>
            <w:pPr>
              <w:pStyle w:val="849"/>
              <w:jc w:val="center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  <w:framePr w:hSpace="180" w:wrap="around" w:vAnchor="text" w:hAnchor="text" w:y="1"/>
            </w:pP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72"/>
        </w:trPr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49"/>
              <w:jc w:val="center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  <w:framePr w:hSpace="180" w:wrap="around" w:vAnchor="text" w:hAnchor="text" w:y="1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2659" w:type="dxa"/>
            <w:vAlign w:val="center"/>
            <w:textDirection w:val="lrTb"/>
            <w:noWrap w:val="false"/>
          </w:tcPr>
          <w:p>
            <w:pPr>
              <w:pStyle w:val="849"/>
              <w:jc w:val="center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  <w:framePr w:hSpace="180" w:wrap="around" w:vAnchor="text" w:hAnchor="text" w:y="1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Borders>
              <w:right w:val="single" w:color="000000" w:sz="4" w:space="0"/>
            </w:tcBorders>
            <w:tcW w:w="2126" w:type="dxa"/>
            <w:vAlign w:val="top"/>
            <w:textDirection w:val="lrTb"/>
            <w:noWrap w:val="false"/>
          </w:tcPr>
          <w:p>
            <w:pPr>
              <w:pStyle w:val="849"/>
              <w:jc w:val="center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  <w:framePr w:hSpace="180" w:wrap="around" w:vAnchor="text" w:hAnchor="text" w:y="1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</w:tcBorders>
            <w:tcW w:w="2092" w:type="dxa"/>
            <w:vAlign w:val="top"/>
            <w:textDirection w:val="lrTb"/>
            <w:noWrap w:val="false"/>
          </w:tcPr>
          <w:p>
            <w:pPr>
              <w:pStyle w:val="849"/>
              <w:jc w:val="center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  <w:framePr w:hSpace="180" w:wrap="around" w:vAnchor="text" w:hAnchor="text" w:y="1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72"/>
        </w:trPr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4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  <w:framePr w:hSpace="180" w:wrap="around" w:vAnchor="text" w:hAnchor="text" w:y="1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01 00 00 00 00 0000 000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659" w:type="dxa"/>
            <w:vAlign w:val="center"/>
            <w:textDirection w:val="lrTb"/>
            <w:noWrap w:val="false"/>
          </w:tcPr>
          <w:p>
            <w:pPr>
              <w:pStyle w:val="84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  <w:framePr w:hSpace="180" w:wrap="around" w:vAnchor="text" w:hAnchor="text" w:y="1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ИСТОЧНИКИ ВНУ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РЕННЕГО ФИНА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СИРОВАНИЯ ДЕФ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ЦИТОВ БЮДЖЕТОВ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right w:val="single" w:color="000000" w:sz="4" w:space="0"/>
            </w:tcBorders>
            <w:tcW w:w="2126" w:type="dxa"/>
            <w:vAlign w:val="top"/>
            <w:textDirection w:val="lrTb"/>
            <w:noWrap w:val="false"/>
          </w:tcPr>
          <w:p>
            <w:pPr>
              <w:pStyle w:val="849"/>
              <w:jc w:val="left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  <w:framePr w:hSpace="180" w:wrap="around" w:vAnchor="text" w:hAnchor="text" w:y="1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442 835 460,73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</w:tcBorders>
            <w:tcW w:w="2092" w:type="dxa"/>
            <w:vAlign w:val="top"/>
            <w:textDirection w:val="lrTb"/>
            <w:noWrap w:val="false"/>
          </w:tcPr>
          <w:p>
            <w:pPr>
              <w:pStyle w:val="849"/>
              <w:jc w:val="left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  <w:framePr w:hSpace="180" w:wrap="around" w:vAnchor="text" w:hAnchor="text" w:y="1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267 222 147,11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638"/>
        </w:trPr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49"/>
              <w:widowControl w:val="off"/>
              <w:rPr>
                <w:rFonts w:ascii="Times New Roman" w:hAnsi="Times New Roman"/>
                <w:b/>
                <w:sz w:val="24"/>
                <w:szCs w:val="24"/>
              </w:rPr>
              <w:framePr w:hSpace="180" w:wrap="around" w:vAnchor="text" w:hAnchor="text" w:y="1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01 05 00 00 00 0000 000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659" w:type="dxa"/>
            <w:vAlign w:val="top"/>
            <w:textDirection w:val="lrTb"/>
            <w:noWrap w:val="false"/>
          </w:tcPr>
          <w:p>
            <w:pPr>
              <w:pStyle w:val="849"/>
              <w:spacing w:after="0" w:line="240" w:lineRule="auto"/>
              <w:widowControl w:val="off"/>
              <w:rPr>
                <w:rFonts w:ascii="Times New Roman" w:hAnsi="Times New Roman"/>
                <w:b/>
                <w:sz w:val="24"/>
                <w:szCs w:val="24"/>
              </w:rPr>
              <w:framePr w:hSpace="180" w:wrap="around" w:vAnchor="text" w:hAnchor="text" w:y="1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Изменение остатков средств на счетах по учету средств бюдж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right w:val="single" w:color="000000" w:sz="4" w:space="0"/>
            </w:tcBorders>
            <w:tcW w:w="2126" w:type="dxa"/>
            <w:vAlign w:val="top"/>
            <w:textDirection w:val="lrTb"/>
            <w:noWrap w:val="false"/>
          </w:tcPr>
          <w:p>
            <w:pPr>
              <w:pStyle w:val="849"/>
              <w:jc w:val="left"/>
              <w:spacing w:after="0"/>
              <w:widowControl w:val="off"/>
              <w:rPr>
                <w:rFonts w:ascii="Times New Roman" w:hAnsi="Times New Roman"/>
                <w:b/>
                <w:sz w:val="24"/>
                <w:szCs w:val="24"/>
              </w:rPr>
              <w:framePr w:hSpace="180" w:wrap="around" w:vAnchor="text" w:hAnchor="text" w:y="1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442 835 460,73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</w:tcBorders>
            <w:tcW w:w="2092" w:type="dxa"/>
            <w:vAlign w:val="top"/>
            <w:textDirection w:val="lrTb"/>
            <w:noWrap w:val="false"/>
          </w:tcPr>
          <w:p>
            <w:pPr>
              <w:pStyle w:val="849"/>
              <w:jc w:val="left"/>
              <w:spacing w:after="0"/>
              <w:widowControl w:val="off"/>
              <w:rPr>
                <w:rFonts w:ascii="Times New Roman" w:hAnsi="Times New Roman"/>
                <w:b/>
                <w:sz w:val="24"/>
                <w:szCs w:val="24"/>
              </w:rPr>
              <w:framePr w:hSpace="180" w:wrap="around" w:vAnchor="text" w:hAnchor="text" w:y="1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267 222 147,11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638"/>
        </w:trPr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49"/>
              <w:widowControl w:val="off"/>
              <w:rPr>
                <w:rFonts w:ascii="Times New Roman" w:hAnsi="Times New Roman"/>
                <w:sz w:val="24"/>
                <w:szCs w:val="24"/>
              </w:rPr>
              <w:framePr w:hSpace="180" w:wrap="around" w:vAnchor="text" w:hAnchor="text" w:y="1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01 05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04 0000 510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59" w:type="dxa"/>
            <w:vAlign w:val="top"/>
            <w:textDirection w:val="lrTb"/>
            <w:noWrap w:val="false"/>
          </w:tcPr>
          <w:p>
            <w:pPr>
              <w:pStyle w:val="849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  <w:framePr w:hSpace="180" w:wrap="around" w:vAnchor="text" w:hAnchor="text" w:y="1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Увеличение прочих 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татков денежных средств бюджетов 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родских округов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right w:val="single" w:color="000000" w:sz="4" w:space="0"/>
            </w:tcBorders>
            <w:tcW w:w="2126" w:type="dxa"/>
            <w:vAlign w:val="top"/>
            <w:textDirection w:val="lrTb"/>
            <w:noWrap w:val="false"/>
          </w:tcPr>
          <w:p>
            <w:pPr>
              <w:pStyle w:val="849"/>
              <w:jc w:val="left"/>
              <w:spacing w:after="100" w:afterAutospacing="1"/>
              <w:widowControl w:val="off"/>
              <w:rPr>
                <w:rFonts w:ascii="Times New Roman" w:hAnsi="Times New Roman"/>
                <w:sz w:val="24"/>
                <w:szCs w:val="24"/>
              </w:rPr>
              <w:framePr w:hSpace="180" w:wrap="around" w:vAnchor="text" w:hAnchor="text" w:y="1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- 7 646 707 505,31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</w:tcBorders>
            <w:tcW w:w="2092" w:type="dxa"/>
            <w:vAlign w:val="top"/>
            <w:textDirection w:val="lrTb"/>
            <w:noWrap w:val="false"/>
          </w:tcPr>
          <w:p>
            <w:pPr>
              <w:pStyle w:val="849"/>
              <w:jc w:val="left"/>
              <w:spacing w:after="0"/>
              <w:widowControl w:val="off"/>
              <w:rPr>
                <w:rFonts w:ascii="Times New Roman" w:hAnsi="Times New Roman"/>
                <w:sz w:val="24"/>
                <w:szCs w:val="24"/>
              </w:rPr>
              <w:framePr w:hSpace="180" w:wrap="around" w:vAnchor="text" w:hAnchor="text" w:y="1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7 462 588 231,26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638"/>
        </w:trPr>
        <w:tc>
          <w:tcPr>
            <w:tcW w:w="2626" w:type="dxa"/>
            <w:vAlign w:val="top"/>
            <w:textDirection w:val="lrTb"/>
            <w:noWrap w:val="false"/>
          </w:tcPr>
          <w:p>
            <w:pPr>
              <w:pStyle w:val="849"/>
              <w:widowControl w:val="off"/>
              <w:rPr>
                <w:rFonts w:ascii="Times New Roman" w:hAnsi="Times New Roman"/>
                <w:sz w:val="24"/>
                <w:szCs w:val="24"/>
              </w:rPr>
              <w:framePr w:hSpace="180" w:wrap="around" w:vAnchor="text" w:hAnchor="text" w:y="1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01 05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04 0000 610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59" w:type="dxa"/>
            <w:vAlign w:val="top"/>
            <w:textDirection w:val="lrTb"/>
            <w:noWrap w:val="false"/>
          </w:tcPr>
          <w:p>
            <w:pPr>
              <w:pStyle w:val="849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  <w:framePr w:hSpace="180" w:wrap="around" w:vAnchor="text" w:hAnchor="text" w:y="1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Уменьшение прочих остатков денежных средств бюджетов 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родских округов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right w:val="single" w:color="000000" w:sz="4" w:space="0"/>
            </w:tcBorders>
            <w:tcW w:w="2126" w:type="dxa"/>
            <w:vAlign w:val="top"/>
            <w:textDirection w:val="lrTb"/>
            <w:noWrap w:val="false"/>
          </w:tcPr>
          <w:p>
            <w:pPr>
              <w:pStyle w:val="849"/>
              <w:jc w:val="left"/>
              <w:spacing w:after="0"/>
              <w:widowControl w:val="off"/>
              <w:rPr>
                <w:rFonts w:ascii="Times New Roman" w:hAnsi="Times New Roman"/>
                <w:sz w:val="24"/>
                <w:szCs w:val="24"/>
              </w:rPr>
              <w:framePr w:hSpace="180" w:wrap="around" w:vAnchor="text" w:hAnchor="text" w:y="1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7 902 098 541,27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</w:tcBorders>
            <w:tcW w:w="2092" w:type="dxa"/>
            <w:vAlign w:val="top"/>
            <w:textDirection w:val="lrTb"/>
            <w:noWrap w:val="false"/>
          </w:tcPr>
          <w:p>
            <w:pPr>
              <w:pStyle w:val="849"/>
              <w:jc w:val="left"/>
              <w:spacing w:after="0"/>
              <w:widowControl w:val="off"/>
              <w:rPr>
                <w:rFonts w:ascii="Times New Roman" w:hAnsi="Times New Roman"/>
                <w:sz w:val="24"/>
                <w:szCs w:val="24"/>
              </w:rPr>
              <w:framePr w:hSpace="180" w:wrap="around" w:vAnchor="text" w:hAnchor="text" w:y="1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7 729 810 378,37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sectPr>
      <w:headerReference w:type="default" r:id="rId8"/>
      <w:footnotePr/>
      <w:endnotePr/>
      <w:type w:val="nextPage"/>
      <w:pgSz w:w="11906" w:h="16838" w:orient="portrait"/>
      <w:pgMar w:top="1100" w:right="794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7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PAGE   \* MERGEFORMAT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  <w:lang w:val="ru-RU"/>
      </w:rPr>
      <w:t xml:space="preserve">2</w:t>
    </w:r>
    <w:r>
      <w:rPr>
        <w:rFonts w:ascii="Times New Roman" w:hAnsi="Times New Roman"/>
        <w:sz w:val="28"/>
        <w:szCs w:val="28"/>
      </w:rPr>
      <w:fldChar w:fldCharType="end"/>
    </w:r>
    <w:r>
      <w:rPr>
        <w:rFonts w:ascii="Times New Roman" w:hAnsi="Times New Roman"/>
        <w:sz w:val="28"/>
        <w:szCs w:val="28"/>
      </w:rPr>
    </w:r>
    <w:r>
      <w:rPr>
        <w:rFonts w:ascii="Times New Roman" w:hAnsi="Times New Roman"/>
        <w:sz w:val="28"/>
        <w:szCs w:val="28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1">
    <w:name w:val="Heading 1"/>
    <w:basedOn w:val="849"/>
    <w:next w:val="849"/>
    <w:link w:val="67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2">
    <w:name w:val="Heading 1 Char"/>
    <w:link w:val="671"/>
    <w:uiPriority w:val="9"/>
    <w:rPr>
      <w:rFonts w:ascii="Arial" w:hAnsi="Arial" w:eastAsia="Arial" w:cs="Arial"/>
      <w:sz w:val="40"/>
      <w:szCs w:val="40"/>
    </w:rPr>
  </w:style>
  <w:style w:type="paragraph" w:styleId="673">
    <w:name w:val="Heading 2"/>
    <w:basedOn w:val="849"/>
    <w:next w:val="849"/>
    <w:link w:val="67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4">
    <w:name w:val="Heading 2 Char"/>
    <w:link w:val="673"/>
    <w:uiPriority w:val="9"/>
    <w:rPr>
      <w:rFonts w:ascii="Arial" w:hAnsi="Arial" w:eastAsia="Arial" w:cs="Arial"/>
      <w:sz w:val="34"/>
    </w:rPr>
  </w:style>
  <w:style w:type="paragraph" w:styleId="675">
    <w:name w:val="Heading 3"/>
    <w:basedOn w:val="849"/>
    <w:next w:val="849"/>
    <w:link w:val="67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6">
    <w:name w:val="Heading 3 Char"/>
    <w:link w:val="675"/>
    <w:uiPriority w:val="9"/>
    <w:rPr>
      <w:rFonts w:ascii="Arial" w:hAnsi="Arial" w:eastAsia="Arial" w:cs="Arial"/>
      <w:sz w:val="30"/>
      <w:szCs w:val="30"/>
    </w:rPr>
  </w:style>
  <w:style w:type="paragraph" w:styleId="677">
    <w:name w:val="Heading 4"/>
    <w:basedOn w:val="849"/>
    <w:next w:val="849"/>
    <w:link w:val="67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8">
    <w:name w:val="Heading 4 Char"/>
    <w:link w:val="677"/>
    <w:uiPriority w:val="9"/>
    <w:rPr>
      <w:rFonts w:ascii="Arial" w:hAnsi="Arial" w:eastAsia="Arial" w:cs="Arial"/>
      <w:b/>
      <w:bCs/>
      <w:sz w:val="26"/>
      <w:szCs w:val="26"/>
    </w:rPr>
  </w:style>
  <w:style w:type="paragraph" w:styleId="679">
    <w:name w:val="Heading 5"/>
    <w:basedOn w:val="849"/>
    <w:next w:val="849"/>
    <w:link w:val="68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0">
    <w:name w:val="Heading 5 Char"/>
    <w:link w:val="679"/>
    <w:uiPriority w:val="9"/>
    <w:rPr>
      <w:rFonts w:ascii="Arial" w:hAnsi="Arial" w:eastAsia="Arial" w:cs="Arial"/>
      <w:b/>
      <w:bCs/>
      <w:sz w:val="24"/>
      <w:szCs w:val="24"/>
    </w:rPr>
  </w:style>
  <w:style w:type="paragraph" w:styleId="681">
    <w:name w:val="Heading 6"/>
    <w:basedOn w:val="849"/>
    <w:next w:val="849"/>
    <w:link w:val="68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2">
    <w:name w:val="Heading 6 Char"/>
    <w:link w:val="681"/>
    <w:uiPriority w:val="9"/>
    <w:rPr>
      <w:rFonts w:ascii="Arial" w:hAnsi="Arial" w:eastAsia="Arial" w:cs="Arial"/>
      <w:b/>
      <w:bCs/>
      <w:sz w:val="22"/>
      <w:szCs w:val="22"/>
    </w:rPr>
  </w:style>
  <w:style w:type="paragraph" w:styleId="683">
    <w:name w:val="Heading 7"/>
    <w:basedOn w:val="849"/>
    <w:next w:val="849"/>
    <w:link w:val="68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4">
    <w:name w:val="Heading 7 Char"/>
    <w:link w:val="68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5">
    <w:name w:val="Heading 8"/>
    <w:basedOn w:val="849"/>
    <w:next w:val="849"/>
    <w:link w:val="68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6">
    <w:name w:val="Heading 8 Char"/>
    <w:link w:val="685"/>
    <w:uiPriority w:val="9"/>
    <w:rPr>
      <w:rFonts w:ascii="Arial" w:hAnsi="Arial" w:eastAsia="Arial" w:cs="Arial"/>
      <w:i/>
      <w:iCs/>
      <w:sz w:val="22"/>
      <w:szCs w:val="22"/>
    </w:rPr>
  </w:style>
  <w:style w:type="paragraph" w:styleId="687">
    <w:name w:val="Heading 9"/>
    <w:basedOn w:val="849"/>
    <w:next w:val="849"/>
    <w:link w:val="68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8">
    <w:name w:val="Heading 9 Char"/>
    <w:link w:val="687"/>
    <w:uiPriority w:val="9"/>
    <w:rPr>
      <w:rFonts w:ascii="Arial" w:hAnsi="Arial" w:eastAsia="Arial" w:cs="Arial"/>
      <w:i/>
      <w:iCs/>
      <w:sz w:val="21"/>
      <w:szCs w:val="21"/>
    </w:rPr>
  </w:style>
  <w:style w:type="paragraph" w:styleId="689">
    <w:name w:val="List Paragraph"/>
    <w:basedOn w:val="849"/>
    <w:uiPriority w:val="34"/>
    <w:qFormat/>
    <w:pPr>
      <w:contextualSpacing/>
      <w:ind w:left="720"/>
    </w:pPr>
  </w:style>
  <w:style w:type="paragraph" w:styleId="690">
    <w:name w:val="No Spacing"/>
    <w:uiPriority w:val="1"/>
    <w:qFormat/>
    <w:pPr>
      <w:spacing w:before="0" w:after="0" w:line="240" w:lineRule="auto"/>
    </w:pPr>
  </w:style>
  <w:style w:type="paragraph" w:styleId="691">
    <w:name w:val="Title"/>
    <w:basedOn w:val="849"/>
    <w:next w:val="849"/>
    <w:link w:val="69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2">
    <w:name w:val="Title Char"/>
    <w:link w:val="691"/>
    <w:uiPriority w:val="10"/>
    <w:rPr>
      <w:sz w:val="48"/>
      <w:szCs w:val="48"/>
    </w:rPr>
  </w:style>
  <w:style w:type="paragraph" w:styleId="693">
    <w:name w:val="Subtitle"/>
    <w:basedOn w:val="849"/>
    <w:next w:val="849"/>
    <w:link w:val="694"/>
    <w:uiPriority w:val="11"/>
    <w:qFormat/>
    <w:pPr>
      <w:spacing w:before="200" w:after="200"/>
    </w:pPr>
    <w:rPr>
      <w:sz w:val="24"/>
      <w:szCs w:val="24"/>
    </w:rPr>
  </w:style>
  <w:style w:type="character" w:styleId="694">
    <w:name w:val="Subtitle Char"/>
    <w:link w:val="693"/>
    <w:uiPriority w:val="11"/>
    <w:rPr>
      <w:sz w:val="24"/>
      <w:szCs w:val="24"/>
    </w:rPr>
  </w:style>
  <w:style w:type="paragraph" w:styleId="695">
    <w:name w:val="Quote"/>
    <w:basedOn w:val="849"/>
    <w:next w:val="849"/>
    <w:link w:val="696"/>
    <w:uiPriority w:val="29"/>
    <w:qFormat/>
    <w:pPr>
      <w:ind w:left="720" w:right="720"/>
    </w:pPr>
    <w:rPr>
      <w:i/>
    </w:rPr>
  </w:style>
  <w:style w:type="character" w:styleId="696">
    <w:name w:val="Quote Char"/>
    <w:link w:val="695"/>
    <w:uiPriority w:val="29"/>
    <w:rPr>
      <w:i/>
    </w:rPr>
  </w:style>
  <w:style w:type="paragraph" w:styleId="697">
    <w:name w:val="Intense Quote"/>
    <w:basedOn w:val="849"/>
    <w:next w:val="849"/>
    <w:link w:val="69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8">
    <w:name w:val="Intense Quote Char"/>
    <w:link w:val="697"/>
    <w:uiPriority w:val="30"/>
    <w:rPr>
      <w:i/>
    </w:rPr>
  </w:style>
  <w:style w:type="paragraph" w:styleId="699">
    <w:name w:val="Header"/>
    <w:basedOn w:val="849"/>
    <w:link w:val="70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0">
    <w:name w:val="Header Char"/>
    <w:link w:val="699"/>
    <w:uiPriority w:val="99"/>
  </w:style>
  <w:style w:type="paragraph" w:styleId="701">
    <w:name w:val="Footer"/>
    <w:basedOn w:val="849"/>
    <w:link w:val="70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2">
    <w:name w:val="Footer Char"/>
    <w:link w:val="701"/>
    <w:uiPriority w:val="99"/>
  </w:style>
  <w:style w:type="paragraph" w:styleId="703">
    <w:name w:val="Caption"/>
    <w:basedOn w:val="849"/>
    <w:next w:val="849"/>
    <w:link w:val="70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4">
    <w:name w:val="Caption Char"/>
    <w:link w:val="703"/>
    <w:uiPriority w:val="35"/>
    <w:rPr>
      <w:b/>
      <w:bCs/>
      <w:color w:val="4f81bd" w:themeColor="accent1"/>
      <w:sz w:val="18"/>
      <w:szCs w:val="18"/>
    </w:rPr>
  </w:style>
  <w:style w:type="table" w:styleId="705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6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7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8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9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0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2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4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5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6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7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8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9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0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1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2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3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4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6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7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8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9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0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1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2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3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4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9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0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1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2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3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4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5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7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8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9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0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1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2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3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4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5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6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7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8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9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0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1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2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3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4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5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6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7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8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9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0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1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2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3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4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5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6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7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8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9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0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1">
    <w:name w:val="Hyperlink"/>
    <w:uiPriority w:val="99"/>
    <w:unhideWhenUsed/>
    <w:rPr>
      <w:color w:val="0000ff" w:themeColor="hyperlink"/>
      <w:u w:val="single"/>
    </w:rPr>
  </w:style>
  <w:style w:type="paragraph" w:styleId="832">
    <w:name w:val="footnote text"/>
    <w:basedOn w:val="849"/>
    <w:link w:val="833"/>
    <w:uiPriority w:val="99"/>
    <w:semiHidden/>
    <w:unhideWhenUsed/>
    <w:pPr>
      <w:spacing w:after="40" w:line="240" w:lineRule="auto"/>
    </w:pPr>
    <w:rPr>
      <w:sz w:val="18"/>
    </w:rPr>
  </w:style>
  <w:style w:type="character" w:styleId="833">
    <w:name w:val="Footnote Text Char"/>
    <w:link w:val="832"/>
    <w:uiPriority w:val="99"/>
    <w:rPr>
      <w:sz w:val="18"/>
    </w:rPr>
  </w:style>
  <w:style w:type="character" w:styleId="834">
    <w:name w:val="footnote reference"/>
    <w:uiPriority w:val="99"/>
    <w:unhideWhenUsed/>
    <w:rPr>
      <w:vertAlign w:val="superscript"/>
    </w:rPr>
  </w:style>
  <w:style w:type="paragraph" w:styleId="835">
    <w:name w:val="endnote text"/>
    <w:basedOn w:val="849"/>
    <w:link w:val="836"/>
    <w:uiPriority w:val="99"/>
    <w:semiHidden/>
    <w:unhideWhenUsed/>
    <w:pPr>
      <w:spacing w:after="0" w:line="240" w:lineRule="auto"/>
    </w:pPr>
    <w:rPr>
      <w:sz w:val="20"/>
    </w:rPr>
  </w:style>
  <w:style w:type="character" w:styleId="836">
    <w:name w:val="Endnote Text Char"/>
    <w:link w:val="835"/>
    <w:uiPriority w:val="99"/>
    <w:rPr>
      <w:sz w:val="20"/>
    </w:rPr>
  </w:style>
  <w:style w:type="character" w:styleId="837">
    <w:name w:val="endnote reference"/>
    <w:uiPriority w:val="99"/>
    <w:semiHidden/>
    <w:unhideWhenUsed/>
    <w:rPr>
      <w:vertAlign w:val="superscript"/>
    </w:rPr>
  </w:style>
  <w:style w:type="paragraph" w:styleId="838">
    <w:name w:val="toc 1"/>
    <w:basedOn w:val="849"/>
    <w:next w:val="849"/>
    <w:uiPriority w:val="39"/>
    <w:unhideWhenUsed/>
    <w:pPr>
      <w:ind w:left="0" w:right="0" w:firstLine="0"/>
      <w:spacing w:after="57"/>
    </w:pPr>
  </w:style>
  <w:style w:type="paragraph" w:styleId="839">
    <w:name w:val="toc 2"/>
    <w:basedOn w:val="849"/>
    <w:next w:val="849"/>
    <w:uiPriority w:val="39"/>
    <w:unhideWhenUsed/>
    <w:pPr>
      <w:ind w:left="283" w:right="0" w:firstLine="0"/>
      <w:spacing w:after="57"/>
    </w:pPr>
  </w:style>
  <w:style w:type="paragraph" w:styleId="840">
    <w:name w:val="toc 3"/>
    <w:basedOn w:val="849"/>
    <w:next w:val="849"/>
    <w:uiPriority w:val="39"/>
    <w:unhideWhenUsed/>
    <w:pPr>
      <w:ind w:left="567" w:right="0" w:firstLine="0"/>
      <w:spacing w:after="57"/>
    </w:pPr>
  </w:style>
  <w:style w:type="paragraph" w:styleId="841">
    <w:name w:val="toc 4"/>
    <w:basedOn w:val="849"/>
    <w:next w:val="849"/>
    <w:uiPriority w:val="39"/>
    <w:unhideWhenUsed/>
    <w:pPr>
      <w:ind w:left="850" w:right="0" w:firstLine="0"/>
      <w:spacing w:after="57"/>
    </w:pPr>
  </w:style>
  <w:style w:type="paragraph" w:styleId="842">
    <w:name w:val="toc 5"/>
    <w:basedOn w:val="849"/>
    <w:next w:val="849"/>
    <w:uiPriority w:val="39"/>
    <w:unhideWhenUsed/>
    <w:pPr>
      <w:ind w:left="1134" w:right="0" w:firstLine="0"/>
      <w:spacing w:after="57"/>
    </w:pPr>
  </w:style>
  <w:style w:type="paragraph" w:styleId="843">
    <w:name w:val="toc 6"/>
    <w:basedOn w:val="849"/>
    <w:next w:val="849"/>
    <w:uiPriority w:val="39"/>
    <w:unhideWhenUsed/>
    <w:pPr>
      <w:ind w:left="1417" w:right="0" w:firstLine="0"/>
      <w:spacing w:after="57"/>
    </w:pPr>
  </w:style>
  <w:style w:type="paragraph" w:styleId="844">
    <w:name w:val="toc 7"/>
    <w:basedOn w:val="849"/>
    <w:next w:val="849"/>
    <w:uiPriority w:val="39"/>
    <w:unhideWhenUsed/>
    <w:pPr>
      <w:ind w:left="1701" w:right="0" w:firstLine="0"/>
      <w:spacing w:after="57"/>
    </w:pPr>
  </w:style>
  <w:style w:type="paragraph" w:styleId="845">
    <w:name w:val="toc 8"/>
    <w:basedOn w:val="849"/>
    <w:next w:val="849"/>
    <w:uiPriority w:val="39"/>
    <w:unhideWhenUsed/>
    <w:pPr>
      <w:ind w:left="1984" w:right="0" w:firstLine="0"/>
      <w:spacing w:after="57"/>
    </w:pPr>
  </w:style>
  <w:style w:type="paragraph" w:styleId="846">
    <w:name w:val="toc 9"/>
    <w:basedOn w:val="849"/>
    <w:next w:val="849"/>
    <w:uiPriority w:val="39"/>
    <w:unhideWhenUsed/>
    <w:pPr>
      <w:ind w:left="2268" w:right="0" w:firstLine="0"/>
      <w:spacing w:after="57"/>
    </w:pPr>
  </w:style>
  <w:style w:type="paragraph" w:styleId="847">
    <w:name w:val="TOC Heading"/>
    <w:uiPriority w:val="39"/>
    <w:unhideWhenUsed/>
  </w:style>
  <w:style w:type="paragraph" w:styleId="848">
    <w:name w:val="table of figures"/>
    <w:basedOn w:val="849"/>
    <w:next w:val="849"/>
    <w:uiPriority w:val="99"/>
    <w:unhideWhenUsed/>
    <w:pPr>
      <w:spacing w:after="0" w:afterAutospacing="0"/>
    </w:pPr>
  </w:style>
  <w:style w:type="paragraph" w:styleId="849" w:default="1">
    <w:name w:val="Normal"/>
    <w:next w:val="849"/>
    <w:link w:val="849"/>
    <w:qFormat/>
    <w:pPr>
      <w:spacing w:after="200" w:line="276" w:lineRule="auto"/>
    </w:pPr>
    <w:rPr>
      <w:sz w:val="22"/>
      <w:szCs w:val="22"/>
      <w:lang w:val="ru-RU" w:eastAsia="en-US" w:bidi="ar-SA"/>
    </w:rPr>
  </w:style>
  <w:style w:type="character" w:styleId="850">
    <w:name w:val="Основной шрифт абзаца"/>
    <w:next w:val="850"/>
    <w:link w:val="849"/>
    <w:uiPriority w:val="1"/>
    <w:semiHidden/>
    <w:unhideWhenUsed/>
  </w:style>
  <w:style w:type="table" w:styleId="851">
    <w:name w:val="Обычная таблица"/>
    <w:next w:val="851"/>
    <w:link w:val="849"/>
    <w:uiPriority w:val="99"/>
    <w:semiHidden/>
    <w:unhideWhenUsed/>
    <w:qFormat/>
    <w:tblPr/>
  </w:style>
  <w:style w:type="numbering" w:styleId="852">
    <w:name w:val="Нет списка"/>
    <w:next w:val="852"/>
    <w:link w:val="849"/>
    <w:uiPriority w:val="99"/>
    <w:semiHidden/>
    <w:unhideWhenUsed/>
  </w:style>
  <w:style w:type="paragraph" w:styleId="853">
    <w:name w:val="Основной текст с отступом 2"/>
    <w:basedOn w:val="849"/>
    <w:next w:val="853"/>
    <w:link w:val="854"/>
    <w:pPr>
      <w:ind w:firstLine="709"/>
      <w:jc w:val="both"/>
      <w:spacing w:after="0" w:line="240" w:lineRule="auto"/>
    </w:pPr>
    <w:rPr>
      <w:rFonts w:ascii="Times New Roman" w:hAnsi="Times New Roman" w:eastAsia="Times New Roman"/>
      <w:sz w:val="28"/>
      <w:szCs w:val="20"/>
      <w:lang w:val="en-US" w:eastAsia="en-US"/>
    </w:rPr>
  </w:style>
  <w:style w:type="character" w:styleId="854">
    <w:name w:val="Основной текст с отступом 2 Знак"/>
    <w:next w:val="854"/>
    <w:link w:val="853"/>
    <w:rPr>
      <w:rFonts w:ascii="Times New Roman" w:hAnsi="Times New Roman" w:eastAsia="Times New Roman"/>
      <w:sz w:val="28"/>
    </w:rPr>
  </w:style>
  <w:style w:type="paragraph" w:styleId="855">
    <w:name w:val="Основной текст"/>
    <w:basedOn w:val="849"/>
    <w:next w:val="855"/>
    <w:link w:val="856"/>
    <w:uiPriority w:val="99"/>
    <w:unhideWhenUsed/>
    <w:pPr>
      <w:spacing w:after="120"/>
    </w:pPr>
    <w:rPr>
      <w:lang w:val="en-US"/>
    </w:rPr>
  </w:style>
  <w:style w:type="character" w:styleId="856">
    <w:name w:val="Основной текст Знак"/>
    <w:next w:val="856"/>
    <w:link w:val="855"/>
    <w:uiPriority w:val="99"/>
    <w:rPr>
      <w:sz w:val="22"/>
      <w:szCs w:val="22"/>
      <w:lang w:eastAsia="en-US"/>
    </w:rPr>
  </w:style>
  <w:style w:type="paragraph" w:styleId="857">
    <w:name w:val="Верхний колонтитул"/>
    <w:basedOn w:val="849"/>
    <w:next w:val="857"/>
    <w:link w:val="858"/>
    <w:uiPriority w:val="99"/>
    <w:unhideWhenUsed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858">
    <w:name w:val="Верхний колонтитул Знак"/>
    <w:next w:val="858"/>
    <w:link w:val="857"/>
    <w:uiPriority w:val="99"/>
    <w:rPr>
      <w:sz w:val="22"/>
      <w:szCs w:val="22"/>
      <w:lang w:eastAsia="en-US"/>
    </w:rPr>
  </w:style>
  <w:style w:type="paragraph" w:styleId="859">
    <w:name w:val="Нижний колонтитул"/>
    <w:basedOn w:val="849"/>
    <w:next w:val="859"/>
    <w:link w:val="860"/>
    <w:uiPriority w:val="99"/>
    <w:unhideWhenUsed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860">
    <w:name w:val="Нижний колонтитул Знак"/>
    <w:next w:val="860"/>
    <w:link w:val="859"/>
    <w:uiPriority w:val="99"/>
    <w:rPr>
      <w:sz w:val="22"/>
      <w:szCs w:val="22"/>
      <w:lang w:eastAsia="en-US"/>
    </w:rPr>
  </w:style>
  <w:style w:type="paragraph" w:styleId="861">
    <w:name w:val="Текст выноски"/>
    <w:basedOn w:val="849"/>
    <w:next w:val="861"/>
    <w:link w:val="862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62">
    <w:name w:val="Текст выноски Знак"/>
    <w:next w:val="862"/>
    <w:link w:val="861"/>
    <w:uiPriority w:val="99"/>
    <w:semiHidden/>
    <w:rPr>
      <w:rFonts w:ascii="Tahoma" w:hAnsi="Tahoma" w:cs="Tahoma"/>
      <w:sz w:val="16"/>
      <w:szCs w:val="16"/>
      <w:lang w:eastAsia="en-US"/>
    </w:rPr>
  </w:style>
  <w:style w:type="character" w:styleId="863" w:default="1">
    <w:name w:val="Default Paragraph Font"/>
    <w:uiPriority w:val="1"/>
    <w:semiHidden/>
    <w:unhideWhenUsed/>
  </w:style>
  <w:style w:type="numbering" w:styleId="864" w:default="1">
    <w:name w:val="No List"/>
    <w:uiPriority w:val="99"/>
    <w:semiHidden/>
    <w:unhideWhenUsed/>
  </w:style>
  <w:style w:type="table" w:styleId="865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Анатольевна Азьмука</dc:creator>
  <cp:lastModifiedBy>yakovleva_ev</cp:lastModifiedBy>
  <cp:revision>201</cp:revision>
  <dcterms:created xsi:type="dcterms:W3CDTF">2009-11-25T02:58:00Z</dcterms:created>
  <dcterms:modified xsi:type="dcterms:W3CDTF">2026-03-16T01:41:38Z</dcterms:modified>
  <cp:version>1048576</cp:version>
</cp:coreProperties>
</file>